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D3" w:rsidRPr="00DE78C9" w:rsidRDefault="00EB62D3" w:rsidP="00EB62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8C9">
        <w:rPr>
          <w:rFonts w:ascii="Times New Roman" w:hAnsi="Times New Roman" w:cs="Times New Roman"/>
          <w:b/>
          <w:sz w:val="26"/>
          <w:szCs w:val="26"/>
        </w:rPr>
        <w:t>Правила подготовки к диагностическим исследованиям.</w:t>
      </w:r>
      <w:bookmarkStart w:id="0" w:name="_GoBack"/>
      <w:bookmarkEnd w:id="0"/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EB62D3" w:rsidRPr="008904F3" w:rsidRDefault="00EB62D3" w:rsidP="00EB62D3">
      <w:pPr>
        <w:numPr>
          <w:ilvl w:val="0"/>
          <w:numId w:val="1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hanging="786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8904F3">
        <w:rPr>
          <w:rFonts w:ascii="Roboto" w:eastAsia="Times New Roman" w:hAnsi="Roboto" w:cs="Arial"/>
          <w:b/>
          <w:bCs/>
          <w:iCs/>
          <w:color w:val="333333"/>
          <w:sz w:val="24"/>
          <w:szCs w:val="24"/>
          <w:lang w:eastAsia="ru-RU"/>
        </w:rPr>
        <w:t>Исследование крови: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Общий анализ крови, определ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ение группы крови, резус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-ф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актора, биохимические анализы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,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онкомаркеры</w:t>
      </w:r>
      <w:proofErr w:type="spell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инфекции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сдаются натощак, не менее, чем 12-ти часов после последнего приема пищи.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За 1-2 дня до обследования исключить из рациона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жирное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, жареное.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В день обследования – </w:t>
      </w:r>
      <w:r w:rsidRPr="00A107E3">
        <w:rPr>
          <w:rFonts w:ascii="Roboto" w:eastAsia="Times New Roman" w:hAnsi="Roboto" w:cs="Arial"/>
          <w:b/>
          <w:bCs/>
          <w:i/>
          <w:iCs/>
          <w:color w:val="333333"/>
          <w:sz w:val="24"/>
          <w:szCs w:val="24"/>
          <w:lang w:eastAsia="ru-RU"/>
        </w:rPr>
        <w:t>завтракать нельзя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 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За 1-2 часа до забора крови не курить.</w:t>
      </w:r>
    </w:p>
    <w:p w:rsidR="00EB62D3" w:rsidRPr="00A107E3" w:rsidRDefault="00EB62D3" w:rsidP="00C26A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EB62D3" w:rsidRPr="00A107E3" w:rsidRDefault="008A41BE" w:rsidP="00C26A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Запрещено</w:t>
      </w:r>
      <w:r w:rsidR="00EB62D3"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EB62D3" w:rsidRPr="00A107E3" w:rsidRDefault="00EB62D3" w:rsidP="00C26A2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2.</w:t>
      </w: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     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Анализ</w:t>
      </w: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ы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 мочи</w:t>
      </w:r>
    </w:p>
    <w:p w:rsidR="00EB62D3" w:rsidRPr="005A1069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proofErr w:type="spellStart"/>
      <w:r w:rsidRPr="005A1069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Общеклинический</w:t>
      </w:r>
      <w:proofErr w:type="spellEnd"/>
      <w:r w:rsidRPr="005A1069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 xml:space="preserve"> анализ мочи: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-с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обирается только утренняя моча</w:t>
      </w:r>
      <w:proofErr w:type="gramStart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;</w:t>
      </w:r>
      <w:proofErr w:type="gram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сбор производится сразу после подъема с постели, до п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риема утреннего кофе или чая;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предыдущее мочеиспускание было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не позже, чем в 2 часа ночи;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перед сбором анализа мочи проводится тщательный туа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лет наружных половых органов;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в специальный контейнер   с крышкой собирают 10 мл мочи, снабжают 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>направлением, собранную мочу  ср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азу направляют в лабораторию;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хранение мочи в холодильнике допускается при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t</w:t>
      </w:r>
      <w:proofErr w:type="spell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2-4 C, но не более 1,5 часов;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женщинам нельзя сдавать мочу во время менструации.</w:t>
      </w:r>
    </w:p>
    <w:p w:rsidR="00EB62D3" w:rsidRPr="005A1069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5A1069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Сбор суточной мочи: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широкогорлый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сосуд из темного стекла с крышкой емкостью не менее 2 л; –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– обязательно указывают объем суточной мочи.</w:t>
      </w:r>
    </w:p>
    <w:p w:rsidR="00EB62D3" w:rsidRPr="005A1069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5A1069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Сбор мочи для микробиологического исследования (посев мочи):</w:t>
      </w:r>
    </w:p>
    <w:p w:rsidR="00EB62D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  – если нужно оценить эффект проведенной терапии, то посев мочи производится по окончании курса лечения.</w:t>
      </w:r>
    </w:p>
    <w:p w:rsidR="00EB62D3" w:rsidRPr="005A1069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5A1069"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  <w:t>Анализ мочи по Нечипоренко:</w:t>
      </w:r>
    </w:p>
    <w:p w:rsidR="00EB62D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194EA1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Собрать утр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еннюю, первую после пробуждения</w:t>
      </w:r>
      <w:r w:rsidRPr="00194EA1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ется в унитаз. </w:t>
      </w:r>
    </w:p>
    <w:p w:rsidR="00EB62D3" w:rsidRPr="005A1069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5A1069"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  <w:t xml:space="preserve">Проба </w:t>
      </w:r>
      <w:proofErr w:type="spellStart"/>
      <w:r w:rsidRPr="005A1069"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  <w:t>Реберга</w:t>
      </w:r>
      <w:proofErr w:type="spellEnd"/>
      <w:r w:rsidRPr="005A1069"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  <w:t>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3F7B88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Собирается суточная моча, также как для анализа на суточный белок. Не забудьте точно измерить объем суточной мочи! Утром, когда закончен сбор суточной мочи, необходимо сдать кровь из вены на </w:t>
      </w:r>
      <w:proofErr w:type="spellStart"/>
      <w:r w:rsidRPr="003F7B88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креатинин</w:t>
      </w:r>
      <w:proofErr w:type="spellEnd"/>
      <w:r w:rsidRPr="003F7B88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. Для точности исследования объем суточной мочи должен быть не менее 1000 мл, для чего в день пробы надо выпить не 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менее 1,5 литров жидкости.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3.</w:t>
      </w: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   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Анализы в гинекологии, урологии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Для женщин: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средств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Для мужчин:</w:t>
      </w:r>
    </w:p>
    <w:p w:rsidR="00EB62D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— нельзя ходить в туалет за 3 часа до сдачи  анализа;    – нельзя принимать внутрь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уросептики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8A41BE" w:rsidRDefault="008A41BE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 w:rsidRPr="003F7B88">
        <w:rPr>
          <w:rFonts w:ascii="Roboto" w:hAnsi="Roboto" w:cs="Arial"/>
          <w:b/>
          <w:color w:val="333333"/>
        </w:rPr>
        <w:lastRenderedPageBreak/>
        <w:t>4</w:t>
      </w:r>
      <w:r>
        <w:rPr>
          <w:rFonts w:ascii="Roboto" w:hAnsi="Roboto" w:cs="Arial"/>
          <w:color w:val="333333"/>
        </w:rPr>
        <w:t xml:space="preserve">.     </w:t>
      </w:r>
      <w:r>
        <w:rPr>
          <w:rStyle w:val="a4"/>
          <w:rFonts w:ascii="&amp;quot" w:hAnsi="&amp;quot"/>
          <w:color w:val="333333"/>
          <w:bdr w:val="none" w:sz="0" w:space="0" w:color="auto" w:frame="1"/>
        </w:rPr>
        <w:t>Анализ кала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>
        <w:rPr>
          <w:rFonts w:ascii="&amp;quot" w:hAnsi="&amp;quot"/>
          <w:color w:val="333333"/>
          <w:bdr w:val="none" w:sz="0" w:space="0" w:color="auto" w:frame="1"/>
        </w:rPr>
        <w:t>колоноскопии</w:t>
      </w:r>
      <w:proofErr w:type="spellEnd"/>
      <w:r>
        <w:rPr>
          <w:rFonts w:ascii="&amp;quot" w:hAnsi="&amp;quot"/>
          <w:color w:val="333333"/>
          <w:bdr w:val="none" w:sz="0" w:space="0" w:color="auto" w:frame="1"/>
        </w:rPr>
        <w:t>.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Нельзя накануне принимать лекарственные вещества в том числе: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— слабительные;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— активированный уголь;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— препараты железа, меди, висмута;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— использовать ректальные свечи на жировой основе.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Не допускать попадания в образец мочи или воды.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Не проводить исследование кала у женщин во время менструации.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</w:t>
      </w:r>
    </w:p>
    <w:p w:rsidR="00EB62D3" w:rsidRDefault="00EB62D3" w:rsidP="00EB62D3">
      <w:pPr>
        <w:pStyle w:val="a3"/>
        <w:spacing w:before="0" w:beforeAutospacing="0" w:after="0" w:afterAutospacing="0"/>
        <w:ind w:firstLine="300"/>
        <w:jc w:val="both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  <w:bdr w:val="none" w:sz="0" w:space="0" w:color="auto" w:frame="1"/>
        </w:rPr>
        <w:t xml:space="preserve">Перенести пробу кала объемом 3-5 куб. </w:t>
      </w:r>
      <w:proofErr w:type="gramStart"/>
      <w:r>
        <w:rPr>
          <w:rFonts w:ascii="&amp;quot" w:hAnsi="&amp;quot"/>
          <w:color w:val="333333"/>
          <w:bdr w:val="none" w:sz="0" w:space="0" w:color="auto" w:frame="1"/>
        </w:rPr>
        <w:t>см</w:t>
      </w:r>
      <w:proofErr w:type="gramEnd"/>
      <w:r>
        <w:rPr>
          <w:rFonts w:ascii="&amp;quot" w:hAnsi="&amp;quot"/>
          <w:color w:val="333333"/>
          <w:bdr w:val="none" w:sz="0" w:space="0" w:color="auto" w:frame="1"/>
        </w:rPr>
        <w:t xml:space="preserve"> в заранее подготовленный чистый сухой контейнер для хранения и транспортировки.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5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    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Ультразвуковые исследования</w:t>
      </w:r>
    </w:p>
    <w:p w:rsidR="00EB62D3" w:rsidRPr="005A1069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5A1069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Подготовка к УЗИ брюшной полости, почек:</w:t>
      </w:r>
    </w:p>
    <w:p w:rsidR="00EB62D3" w:rsidRPr="00A107E3" w:rsidRDefault="00EB62D3" w:rsidP="00EB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За 2-3 дня до обследования реко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мендуется перейти на диету, исключая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из рациона продукты, усиливающие газообразование в кишечнике (сырые овощи, богатые растительной клетчаткой, цельное молоко, черный хлеб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, бобовые, газированные напитки</w:t>
      </w:r>
      <w:proofErr w:type="gramStart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)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;</w:t>
      </w:r>
    </w:p>
    <w:p w:rsidR="00EB62D3" w:rsidRPr="00A107E3" w:rsidRDefault="00EB62D3" w:rsidP="00EB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энтеросорбенты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(например,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фестал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мезим-форте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эспумизан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EB62D3" w:rsidRPr="00A107E3" w:rsidRDefault="00EB62D3" w:rsidP="00EB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EB62D3" w:rsidRPr="00A107E3" w:rsidRDefault="00EB62D3" w:rsidP="00EB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:rsidR="00EB62D3" w:rsidRPr="00A107E3" w:rsidRDefault="00EB62D3" w:rsidP="00EB62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гастр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колоноскопии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, а также R-исследований органов ЖКТ.</w:t>
      </w:r>
    </w:p>
    <w:p w:rsidR="00EB62D3" w:rsidRPr="00DF63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Подготовка к УЗИ органов малого таза (мочевой пузырь, матка, придатки) у женщин</w:t>
      </w:r>
      <w:proofErr w:type="gramStart"/>
      <w:r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 xml:space="preserve"> :</w:t>
      </w:r>
      <w:proofErr w:type="gramEnd"/>
    </w:p>
    <w:p w:rsidR="00EB62D3" w:rsidRPr="00A107E3" w:rsidRDefault="00EB62D3" w:rsidP="00EB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B62D3" w:rsidRPr="00A107E3" w:rsidRDefault="00EB62D3" w:rsidP="00EB62D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трансвагинального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,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если у пациента проблемы с ЖКТ – необходимо провести очистительную клизму накануне вечером.</w:t>
      </w:r>
    </w:p>
    <w:p w:rsidR="00EB62D3" w:rsidRPr="00DF63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Подготовка к УЗИ мочевого пузыря и простаты у мужчин</w:t>
      </w:r>
      <w:proofErr w:type="gramStart"/>
      <w:r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 xml:space="preserve"> :</w:t>
      </w:r>
      <w:proofErr w:type="gramEnd"/>
    </w:p>
    <w:p w:rsidR="00EB62D3" w:rsidRPr="00A107E3" w:rsidRDefault="00EB62D3" w:rsidP="00EB62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EB62D3" w:rsidRPr="00A107E3" w:rsidRDefault="00EB62D3" w:rsidP="00EB62D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 xml:space="preserve">Перед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трансректальном</w:t>
      </w:r>
      <w:proofErr w:type="spell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исследовании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простаты (ТРУЗИ) необходи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мо сделать очистительную клизму за 3 часа до обследования.</w:t>
      </w:r>
    </w:p>
    <w:p w:rsidR="00EB62D3" w:rsidRPr="00DF63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Подготовка к УЗИ молочных желез</w:t>
      </w:r>
      <w:r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:</w:t>
      </w:r>
    </w:p>
    <w:p w:rsidR="00EB62D3" w:rsidRPr="00A107E3" w:rsidRDefault="00EB62D3" w:rsidP="00EB62D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в первые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7-10 дней менструального цикла (1 фаза цикла).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УЗИ щитовидной железы,  лимфатических узлов и почек</w:t>
      </w: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, плевральных полостей, ТС артерий, ТС вен, ТС БЦА, УЗИ мягких тканей, УЗИ суставов,  УЗИ беременных более 13 </w:t>
      </w:r>
      <w:proofErr w:type="spellStart"/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нед</w:t>
      </w:r>
      <w:proofErr w:type="spellEnd"/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.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  данные предыдущих исследований  УЗИ (для определения динамики заболевания);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—  направление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УЗ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заболеваний);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  большое полотенце или пеленку.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 </w:t>
      </w:r>
    </w:p>
    <w:p w:rsidR="00EB62D3" w:rsidRPr="00A107E3" w:rsidRDefault="00EB62D3" w:rsidP="00EB6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6.    Функциональная диагностика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:</w:t>
      </w:r>
    </w:p>
    <w:p w:rsidR="00EB62D3" w:rsidRPr="00DF63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 </w:t>
      </w:r>
      <w:proofErr w:type="spellStart"/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Эхокардиография</w:t>
      </w:r>
      <w:proofErr w:type="spellEnd"/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 xml:space="preserve"> (УЗИ сердца):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 — Исследование проводится после 10-15 минутного отдыха.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).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</w:t>
      </w:r>
      <w:proofErr w:type="gram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знать точный вес.</w:t>
      </w:r>
    </w:p>
    <w:p w:rsidR="00EB62D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— взять с собой </w:t>
      </w:r>
      <w:proofErr w:type="gramStart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последнюю</w:t>
      </w:r>
      <w:proofErr w:type="gramEnd"/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ЭКГ.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 </w:t>
      </w:r>
    </w:p>
    <w:p w:rsidR="00EB62D3" w:rsidRPr="00A107E3" w:rsidRDefault="00EB62D3" w:rsidP="00EB62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 xml:space="preserve">7. </w:t>
      </w:r>
      <w:r w:rsidRPr="00A107E3">
        <w:rPr>
          <w:rFonts w:ascii="Roboto" w:eastAsia="Times New Roman" w:hAnsi="Roboto" w:cs="Arial"/>
          <w:b/>
          <w:bCs/>
          <w:color w:val="333333"/>
          <w:sz w:val="24"/>
          <w:szCs w:val="24"/>
          <w:lang w:eastAsia="ru-RU"/>
        </w:rPr>
        <w:t>Эндоскопические   исследования</w:t>
      </w:r>
    </w:p>
    <w:p w:rsidR="00EB62D3" w:rsidRPr="00DF63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proofErr w:type="spellStart"/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Фиброгастродуоденоскопия</w:t>
      </w:r>
      <w:proofErr w:type="spellEnd"/>
      <w:proofErr w:type="gramStart"/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 xml:space="preserve"> :</w:t>
      </w:r>
      <w:proofErr w:type="gramEnd"/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утром в день исследования  до ФГДС ЗАПРЕЩАЕТСЯ: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-курить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принимать лекарства в таблетках (капсулах) внутрь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:rsidR="00EB62D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-чистить зубы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делать УЗИ брюшной полости и других органов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принимать лекарства, которые можно рассасывать в полости рта, не заглатывая или  взять с собой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;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ФГДС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>П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еред исследованием нужно снять съемные зубные протезы, очки, галстук.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Накануне вечером: легкоусвояемый (без салатов!) ужин 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до 17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.00 час.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EB62D3" w:rsidRPr="00DF63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u w:val="single"/>
          <w:lang w:eastAsia="ru-RU"/>
        </w:rPr>
      </w:pPr>
      <w:r w:rsidRPr="00DF63E3">
        <w:rPr>
          <w:rFonts w:ascii="Roboto" w:eastAsia="Times New Roman" w:hAnsi="Roboto" w:cs="Arial"/>
          <w:bCs/>
          <w:color w:val="333333"/>
          <w:sz w:val="24"/>
          <w:szCs w:val="24"/>
          <w:u w:val="single"/>
          <w:lang w:eastAsia="ru-RU"/>
        </w:rPr>
        <w:t>Больному с собой необходимо иметь: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—  постоянно принимаемые лекарства (принять после осмотра, а под язык или </w:t>
      </w:r>
      <w:proofErr w:type="spell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спрей</w:t>
      </w:r>
      <w:proofErr w:type="spell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при ИБС, бронхиальной астме.. —  до осмотра</w:t>
      </w:r>
      <w:proofErr w:type="gramStart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!</w:t>
      </w:r>
      <w:proofErr w:type="gramEnd"/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);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:rsidR="00EB62D3" w:rsidRPr="00A107E3" w:rsidRDefault="00EB62D3" w:rsidP="00EB62D3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— полотенце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</w:t>
      </w:r>
      <w:r w:rsidRPr="00A107E3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хорошо впитывающее жидкость или пеленку.</w:t>
      </w:r>
    </w:p>
    <w:p w:rsidR="00EB62D3" w:rsidRPr="009E0253" w:rsidRDefault="00EB62D3" w:rsidP="00EB6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6F2" w:rsidRPr="00EB62D3" w:rsidRDefault="006226F2" w:rsidP="00EB62D3"/>
    <w:sectPr w:rsidR="006226F2" w:rsidRPr="00EB62D3" w:rsidSect="00E8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17D91F6E"/>
    <w:multiLevelType w:val="multilevel"/>
    <w:tmpl w:val="FD20754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A0B58"/>
    <w:multiLevelType w:val="multilevel"/>
    <w:tmpl w:val="CE74E7B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B1932"/>
    <w:multiLevelType w:val="multilevel"/>
    <w:tmpl w:val="786C21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2B"/>
    <w:multiLevelType w:val="multilevel"/>
    <w:tmpl w:val="43DCC1F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61939"/>
    <w:multiLevelType w:val="multilevel"/>
    <w:tmpl w:val="06846F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6FEA23D6"/>
    <w:multiLevelType w:val="multilevel"/>
    <w:tmpl w:val="DD70949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9F"/>
    <w:rsid w:val="0018159F"/>
    <w:rsid w:val="006226F2"/>
    <w:rsid w:val="008A41BE"/>
    <w:rsid w:val="00A656C5"/>
    <w:rsid w:val="00AC07F9"/>
    <w:rsid w:val="00C26A23"/>
    <w:rsid w:val="00D33C75"/>
    <w:rsid w:val="00DE2157"/>
    <w:rsid w:val="00EB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cp:lastPrinted>2022-02-02T12:22:00Z</cp:lastPrinted>
  <dcterms:created xsi:type="dcterms:W3CDTF">2022-02-02T12:07:00Z</dcterms:created>
  <dcterms:modified xsi:type="dcterms:W3CDTF">2022-02-14T13:48:00Z</dcterms:modified>
</cp:coreProperties>
</file>